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99311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技术参数及售后要求</w:t>
      </w:r>
    </w:p>
    <w:p w14:paraId="5671D98C">
      <w:pPr>
        <w:jc w:val="center"/>
      </w:pPr>
      <w:r>
        <w:rPr>
          <w:rFonts w:hint="eastAsia"/>
          <w:sz w:val="28"/>
          <w:szCs w:val="28"/>
        </w:rPr>
        <w:t>（打星号</w:t>
      </w:r>
      <w:r>
        <w:rPr>
          <w:rFonts w:hint="eastAsia"/>
          <w:sz w:val="28"/>
          <w:szCs w:val="28"/>
          <w:lang w:val="en-US" w:eastAsia="zh-CN"/>
        </w:rPr>
        <w:t>为</w:t>
      </w:r>
      <w:r>
        <w:rPr>
          <w:rFonts w:hint="eastAsia"/>
          <w:sz w:val="28"/>
          <w:szCs w:val="28"/>
        </w:rPr>
        <w:t>核心参数，若核心参数不满足，则不考虑该品牌）</w:t>
      </w:r>
    </w:p>
    <w:p w14:paraId="0450D6CE">
      <w:pPr>
        <w:numPr>
          <w:ilvl w:val="0"/>
          <w:numId w:val="1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设备名称：</w:t>
      </w:r>
      <w:r>
        <w:rPr>
          <w:rFonts w:hint="eastAsia"/>
          <w:b/>
          <w:bCs/>
          <w:sz w:val="28"/>
          <w:szCs w:val="28"/>
          <w:lang w:val="en-US" w:eastAsia="zh-CN"/>
        </w:rPr>
        <w:t>中医体质辨识仪</w:t>
      </w:r>
    </w:p>
    <w:p w14:paraId="26DB525E">
      <w:pPr>
        <w:numPr>
          <w:ilvl w:val="0"/>
          <w:numId w:val="1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数量：</w:t>
      </w:r>
      <w:r>
        <w:rPr>
          <w:rFonts w:hint="eastAsia"/>
          <w:b/>
          <w:bCs/>
          <w:sz w:val="28"/>
          <w:szCs w:val="28"/>
          <w:lang w:val="en-US" w:eastAsia="zh-CN"/>
        </w:rPr>
        <w:t>1台</w:t>
      </w:r>
    </w:p>
    <w:p w14:paraId="556CE0C3">
      <w:pPr>
        <w:numPr>
          <w:ilvl w:val="0"/>
          <w:numId w:val="1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设备用途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b/>
          <w:bCs/>
          <w:sz w:val="28"/>
          <w:szCs w:val="28"/>
          <w:lang w:val="en-US" w:eastAsia="zh-CN"/>
        </w:rPr>
        <w:t>通过采集面象、舌象和问诊情况，经过数据分析及智能算法，自动分析面象、舌象信息，识别人体体质，开展个体化中医养生干预服务，给予合理的养生调养指导建议。</w:t>
      </w:r>
    </w:p>
    <w:p w14:paraId="4497E776">
      <w:pPr>
        <w:numPr>
          <w:ilvl w:val="0"/>
          <w:numId w:val="1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技术参数：</w:t>
      </w:r>
    </w:p>
    <w:p w14:paraId="1A8ACDF2">
      <w:pPr>
        <w:numPr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整体一体化设计，配有高清摄像头，能实现对人体面象、舌象拍照功能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22301A84">
      <w:pPr>
        <w:numPr>
          <w:numId w:val="0"/>
        </w:num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2、具有语音、人机对话及触摸控制等操作功能。</w:t>
      </w:r>
    </w:p>
    <w:p w14:paraId="6EBBDE5F">
      <w:pPr>
        <w:numPr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3、可对中医九大体质及细化的多种体质分型进行自动辨识判定。</w:t>
      </w:r>
    </w:p>
    <w:p w14:paraId="59619226">
      <w:pPr>
        <w:numPr>
          <w:numId w:val="0"/>
        </w:num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提供成人版、老年版、孕产妇版、儿童版等多种中医体质辨识版本。</w:t>
      </w:r>
    </w:p>
    <w:p w14:paraId="601A9244">
      <w:pPr>
        <w:numPr>
          <w:numId w:val="0"/>
        </w:numPr>
        <w:ind w:leftChars="0"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5、可得出检测者体质类型，并提供体质特征、体质成因解读，以及易发疾病的风险预警提示，对外界环境适应能力等。</w:t>
      </w:r>
    </w:p>
    <w:p w14:paraId="7F99E52C">
      <w:pPr>
        <w:numPr>
          <w:numId w:val="0"/>
        </w:numPr>
        <w:ind w:leftChars="0"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6、为检测者提供个体化的健康养生指导建议，包含营养膳食、中医保健建议、精神调养方案、运动建议、健康生活提示等。</w:t>
      </w:r>
    </w:p>
    <w:p w14:paraId="00FEC223">
      <w:pPr>
        <w:numPr>
          <w:numId w:val="0"/>
        </w:numPr>
        <w:ind w:leftChars="0"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7、具备慢性病健康管理系统，可提供高血压、高血糖等慢病管理分析功能。</w:t>
      </w:r>
    </w:p>
    <w:p w14:paraId="75DCF18F">
      <w:pPr>
        <w:numPr>
          <w:numId w:val="0"/>
        </w:numPr>
        <w:ind w:leftChars="0"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8、具备中医体质辨识、中医药健康管理等相关计算机软件著作权登记证书。</w:t>
      </w:r>
    </w:p>
    <w:p w14:paraId="3C816C39">
      <w:pPr>
        <w:numPr>
          <w:numId w:val="0"/>
        </w:numPr>
        <w:ind w:leftChars="0"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9、免费开放数据接口，支持LAN网络接口、4G、WIFI等多种方式传输数据，支持与医院各类信息系统对接。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                                                      </w:t>
      </w:r>
    </w:p>
    <w:p w14:paraId="674A3308">
      <w:pPr>
        <w:numPr>
          <w:ilvl w:val="0"/>
          <w:numId w:val="1"/>
        </w:numPr>
        <w:ind w:left="422" w:hanging="422" w:hangingChars="15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售后技术服务及要求：</w:t>
      </w:r>
    </w:p>
    <w:p w14:paraId="5919B048">
      <w:pPr>
        <w:ind w:firstLine="280" w:firstLineChars="1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1、维修响应时间：维修人员24小时内到达现场。</w:t>
      </w:r>
    </w:p>
    <w:p w14:paraId="43F829CE">
      <w:pPr>
        <w:ind w:left="-315" w:leftChars="-15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2、供货方保证质保期内设备开机率≥95%，若机器送回厂方维修，需提供备用机。</w:t>
      </w:r>
    </w:p>
    <w:p w14:paraId="4D8DEB25">
      <w:pPr>
        <w:ind w:left="-315" w:leftChars="-15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3、提供全套技术资料、操作手册、简易操作规程（塑封）、维修手册，三级保养流程，提供专业安装。</w:t>
      </w:r>
    </w:p>
    <w:p w14:paraId="72C1E881">
      <w:pPr>
        <w:ind w:left="-315" w:leftChars="-150"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☆4、供货方保证提供系统安装调试与应用培训，整机免费无责保修≥2年，并提供原厂质保函。保修期结束后，提供设备维护和维修服务。</w:t>
      </w:r>
    </w:p>
    <w:p w14:paraId="4ADFE3E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☆5、提供设备上使用的耗材以及易损耗配件的名称和价格。</w:t>
      </w:r>
    </w:p>
    <w:p w14:paraId="3C827A80">
      <w:pPr>
        <w:ind w:left="-315" w:leftChars="-15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6、附技术参数比较对照表和响应值。</w:t>
      </w:r>
    </w:p>
    <w:p w14:paraId="53D7FD4A">
      <w:pPr>
        <w:ind w:left="-315" w:leftChars="-15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7、附详细配置清单。</w:t>
      </w:r>
    </w:p>
    <w:p w14:paraId="7FC60A5B">
      <w:pPr>
        <w:ind w:left="-315" w:leftChars="-15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8、提供产品资质文件，进口设备或元件需提供检测报告、报关单和商检单。</w:t>
      </w:r>
    </w:p>
    <w:p w14:paraId="377160F7">
      <w:pPr>
        <w:ind w:firstLine="280" w:firstLineChars="1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9、提供设备安装地点的要求，如温度、湿度、电源电压、功率、水质、水压等。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E2A58"/>
    <w:multiLevelType w:val="singleLevel"/>
    <w:tmpl w:val="5A2E2A5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556C0"/>
    <w:rsid w:val="09DB12AA"/>
    <w:rsid w:val="0D72325C"/>
    <w:rsid w:val="0D8556C0"/>
    <w:rsid w:val="1A9B7231"/>
    <w:rsid w:val="23F7700F"/>
    <w:rsid w:val="2E2425C2"/>
    <w:rsid w:val="45F06FF4"/>
    <w:rsid w:val="72055EB8"/>
    <w:rsid w:val="7741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759</Words>
  <Characters>768</Characters>
  <Lines>0</Lines>
  <Paragraphs>0</Paragraphs>
  <TotalTime>3</TotalTime>
  <ScaleCrop>false</ScaleCrop>
  <LinksUpToDate>false</LinksUpToDate>
  <CharactersWithSpaces>867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2025-06-20T08:21:00Z</dcterms:created>
  <dc:creator>一剑天下</dc:creator>
  <cp:lastModifiedBy>王</cp:lastModifiedBy>
  <dcterms:modified xsi:type="dcterms:W3CDTF">2025-11-05T01:00:19Z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47ADA753BB7E405A9C6CC56FE5E0B856_13</vt:lpwstr>
  </property>
  <property fmtid="{D5CDD505-2E9C-101B-9397-08002B2CF9AE}" pid="4" name="KSOTemplateDocerSaveRecord">
    <vt:lpwstr>eyJoZGlkIjoiOTJjMGYxYjZjNTQ3YmM0MDFhMDljZmZmYzk0MmQ4NDciLCJ1c2VySWQiOiIzNTU2Mzk0OTcifQ==</vt:lpwstr>
  </property>
</Properties>
</file>